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EF" w:rsidRPr="006C401E" w:rsidRDefault="008629F6" w:rsidP="007A2FE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color w:val="FF0000"/>
          <w:sz w:val="22"/>
          <w:szCs w:val="22"/>
        </w:rPr>
      </w:pPr>
      <w:r w:rsidRPr="00152D88">
        <w:rPr>
          <w:rFonts w:ascii="Times New Roman" w:hAnsi="Times New Roman" w:cs="Times New Roman"/>
          <w:sz w:val="22"/>
          <w:szCs w:val="22"/>
        </w:rPr>
        <w:t>Приложение 1</w:t>
      </w:r>
      <w:r w:rsidRPr="00152D88">
        <w:rPr>
          <w:rFonts w:ascii="Times New Roman" w:hAnsi="Times New Roman" w:cs="Times New Roman"/>
          <w:sz w:val="22"/>
          <w:szCs w:val="22"/>
        </w:rPr>
        <w:br/>
      </w:r>
      <w:r w:rsidRPr="00513ED3">
        <w:rPr>
          <w:rFonts w:ascii="Times New Roman" w:hAnsi="Times New Roman" w:cs="Times New Roman"/>
          <w:sz w:val="22"/>
          <w:szCs w:val="22"/>
        </w:rPr>
        <w:t>к приказу от</w:t>
      </w:r>
      <w:r w:rsidR="00FC616B">
        <w:rPr>
          <w:rFonts w:ascii="Times New Roman" w:hAnsi="Times New Roman" w:cs="Times New Roman"/>
          <w:sz w:val="22"/>
          <w:szCs w:val="22"/>
        </w:rPr>
        <w:t xml:space="preserve"> 30.12.2016г.</w:t>
      </w:r>
      <w:r w:rsidR="00513ED3" w:rsidRPr="00513ED3">
        <w:rPr>
          <w:rFonts w:ascii="Times New Roman" w:hAnsi="Times New Roman" w:cs="Times New Roman"/>
          <w:sz w:val="22"/>
          <w:szCs w:val="22"/>
        </w:rPr>
        <w:t xml:space="preserve"> </w:t>
      </w:r>
      <w:r w:rsidRPr="00513ED3">
        <w:rPr>
          <w:rFonts w:ascii="Times New Roman" w:hAnsi="Times New Roman" w:cs="Times New Roman"/>
          <w:sz w:val="22"/>
          <w:szCs w:val="22"/>
        </w:rPr>
        <w:t xml:space="preserve">№ </w:t>
      </w:r>
      <w:r w:rsidR="00FC616B">
        <w:rPr>
          <w:rFonts w:ascii="Times New Roman" w:hAnsi="Times New Roman" w:cs="Times New Roman"/>
          <w:sz w:val="22"/>
          <w:szCs w:val="22"/>
        </w:rPr>
        <w:t>61</w:t>
      </w:r>
      <w:r w:rsidR="00513ED3"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B259EF" w:rsidRPr="00152D88" w:rsidRDefault="008629F6" w:rsidP="007A2FE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  <w:r w:rsidRPr="00152D88">
        <w:rPr>
          <w:rFonts w:ascii="Times New Roman" w:hAnsi="Times New Roman" w:cs="Times New Roman"/>
          <w:sz w:val="22"/>
          <w:szCs w:val="22"/>
        </w:rPr>
        <w:t> </w:t>
      </w:r>
    </w:p>
    <w:p w:rsidR="00B259EF" w:rsidRPr="00152D88" w:rsidRDefault="008629F6" w:rsidP="007A2FE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  <w:r w:rsidRPr="00152D88">
        <w:rPr>
          <w:rFonts w:ascii="Times New Roman" w:hAnsi="Times New Roman" w:cs="Times New Roman"/>
          <w:sz w:val="22"/>
          <w:szCs w:val="22"/>
        </w:rPr>
        <w:t> </w:t>
      </w:r>
    </w:p>
    <w:p w:rsidR="00B259EF" w:rsidRPr="00152D88" w:rsidRDefault="008629F6" w:rsidP="007A2FE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  <w:r w:rsidRPr="00152D88">
        <w:rPr>
          <w:rFonts w:ascii="Times New Roman" w:hAnsi="Times New Roman" w:cs="Times New Roman"/>
          <w:sz w:val="22"/>
          <w:szCs w:val="22"/>
        </w:rPr>
        <w:t>Состав комиссии по поступлению и выбытию активов</w:t>
      </w:r>
    </w:p>
    <w:p w:rsidR="00B259EF" w:rsidRPr="00152D88" w:rsidRDefault="008629F6" w:rsidP="007A2FE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  <w:r w:rsidRPr="00152D88">
        <w:rPr>
          <w:rFonts w:ascii="Times New Roman" w:hAnsi="Times New Roman" w:cs="Times New Roman"/>
          <w:sz w:val="22"/>
          <w:szCs w:val="22"/>
        </w:rPr>
        <w:t> </w:t>
      </w:r>
    </w:p>
    <w:p w:rsidR="00B259EF" w:rsidRPr="00152D88" w:rsidRDefault="008629F6" w:rsidP="007A2FE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  <w:r w:rsidRPr="00152D88">
        <w:rPr>
          <w:rFonts w:ascii="Times New Roman" w:hAnsi="Times New Roman" w:cs="Times New Roman"/>
          <w:sz w:val="22"/>
          <w:szCs w:val="22"/>
        </w:rPr>
        <w:t> </w:t>
      </w:r>
    </w:p>
    <w:p w:rsidR="00B259EF" w:rsidRPr="00152D88" w:rsidRDefault="008629F6" w:rsidP="007A2FE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52D88">
        <w:rPr>
          <w:rFonts w:ascii="Times New Roman" w:hAnsi="Times New Roman" w:cs="Times New Roman"/>
          <w:sz w:val="22"/>
          <w:szCs w:val="22"/>
        </w:rPr>
        <w:t xml:space="preserve">1. Для контроля за сохранностью нефинансовых активов и определения целесообразности их списания (выбытия) создать постоянно действующую комиссию по поступлению и выбытию активов в следующем составе: </w:t>
      </w:r>
    </w:p>
    <w:p w:rsidR="00B259EF" w:rsidRDefault="008629F6" w:rsidP="007A2FE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52D88">
        <w:rPr>
          <w:rFonts w:ascii="Times New Roman" w:hAnsi="Times New Roman" w:cs="Times New Roman"/>
          <w:sz w:val="22"/>
          <w:szCs w:val="22"/>
        </w:rPr>
        <w:t xml:space="preserve">– </w:t>
      </w:r>
      <w:r w:rsidR="006C401E">
        <w:rPr>
          <w:rFonts w:ascii="Times New Roman" w:hAnsi="Times New Roman" w:cs="Times New Roman"/>
          <w:sz w:val="22"/>
          <w:szCs w:val="22"/>
        </w:rPr>
        <w:t>начальник Финансового управления</w:t>
      </w:r>
      <w:r w:rsidRPr="00152D88">
        <w:rPr>
          <w:rFonts w:ascii="Times New Roman" w:hAnsi="Times New Roman" w:cs="Times New Roman"/>
          <w:sz w:val="22"/>
          <w:szCs w:val="22"/>
        </w:rPr>
        <w:t xml:space="preserve"> ;</w:t>
      </w:r>
      <w:r w:rsidRPr="00152D88">
        <w:rPr>
          <w:rFonts w:ascii="Times New Roman" w:hAnsi="Times New Roman" w:cs="Times New Roman"/>
          <w:sz w:val="22"/>
          <w:szCs w:val="22"/>
        </w:rPr>
        <w:br/>
        <w:t>– главный бухгалтер;</w:t>
      </w:r>
      <w:r w:rsidRPr="00152D88">
        <w:rPr>
          <w:rFonts w:ascii="Times New Roman" w:hAnsi="Times New Roman" w:cs="Times New Roman"/>
          <w:sz w:val="22"/>
          <w:szCs w:val="22"/>
        </w:rPr>
        <w:br/>
        <w:t xml:space="preserve">– </w:t>
      </w:r>
      <w:r w:rsidR="006C401E">
        <w:rPr>
          <w:rFonts w:ascii="Times New Roman" w:hAnsi="Times New Roman" w:cs="Times New Roman"/>
          <w:sz w:val="22"/>
          <w:szCs w:val="22"/>
        </w:rPr>
        <w:t>ведущий специалист</w:t>
      </w:r>
      <w:r w:rsidRPr="00152D88">
        <w:rPr>
          <w:rFonts w:ascii="Times New Roman" w:hAnsi="Times New Roman" w:cs="Times New Roman"/>
          <w:sz w:val="22"/>
          <w:szCs w:val="22"/>
        </w:rPr>
        <w:t>;</w:t>
      </w:r>
      <w:r w:rsidRPr="00152D88">
        <w:rPr>
          <w:rFonts w:ascii="Times New Roman" w:hAnsi="Times New Roman" w:cs="Times New Roman"/>
          <w:sz w:val="22"/>
          <w:szCs w:val="22"/>
        </w:rPr>
        <w:br/>
        <w:t xml:space="preserve">– </w:t>
      </w:r>
      <w:r w:rsidR="006C401E">
        <w:rPr>
          <w:rFonts w:ascii="Times New Roman" w:hAnsi="Times New Roman" w:cs="Times New Roman"/>
          <w:sz w:val="22"/>
          <w:szCs w:val="22"/>
        </w:rPr>
        <w:t>начальник отдела информационных систем;</w:t>
      </w:r>
    </w:p>
    <w:p w:rsidR="006C401E" w:rsidRDefault="006C401E" w:rsidP="007A2FE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52D88">
        <w:rPr>
          <w:rFonts w:ascii="Times New Roman" w:hAnsi="Times New Roman" w:cs="Times New Roman"/>
          <w:sz w:val="22"/>
          <w:szCs w:val="22"/>
        </w:rPr>
        <w:t xml:space="preserve">– </w:t>
      </w:r>
      <w:r>
        <w:rPr>
          <w:rFonts w:ascii="Times New Roman" w:hAnsi="Times New Roman" w:cs="Times New Roman"/>
          <w:sz w:val="22"/>
          <w:szCs w:val="22"/>
        </w:rPr>
        <w:t>начальник отдела по</w:t>
      </w:r>
      <w:r w:rsidR="006C1F60">
        <w:rPr>
          <w:rFonts w:ascii="Times New Roman" w:hAnsi="Times New Roman" w:cs="Times New Roman"/>
          <w:sz w:val="22"/>
          <w:szCs w:val="22"/>
        </w:rPr>
        <w:t xml:space="preserve"> формированию и </w:t>
      </w:r>
      <w:r>
        <w:rPr>
          <w:rFonts w:ascii="Times New Roman" w:hAnsi="Times New Roman" w:cs="Times New Roman"/>
          <w:sz w:val="22"/>
          <w:szCs w:val="22"/>
        </w:rPr>
        <w:t xml:space="preserve"> исполнению бюджетов сельских поселений;</w:t>
      </w:r>
    </w:p>
    <w:p w:rsidR="006C401E" w:rsidRPr="00152D88" w:rsidRDefault="006C401E" w:rsidP="006C401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52D88">
        <w:rPr>
          <w:rFonts w:ascii="Times New Roman" w:hAnsi="Times New Roman" w:cs="Times New Roman"/>
          <w:sz w:val="22"/>
          <w:szCs w:val="22"/>
        </w:rPr>
        <w:t xml:space="preserve">– </w:t>
      </w:r>
      <w:r>
        <w:rPr>
          <w:rFonts w:ascii="Times New Roman" w:hAnsi="Times New Roman" w:cs="Times New Roman"/>
          <w:sz w:val="22"/>
          <w:szCs w:val="22"/>
        </w:rPr>
        <w:t>начальник отдела по исполнению районного бюджета.</w:t>
      </w:r>
    </w:p>
    <w:p w:rsidR="00B259EF" w:rsidRPr="00152D88" w:rsidRDefault="008629F6" w:rsidP="007A2FE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52D88">
        <w:rPr>
          <w:rFonts w:ascii="Times New Roman" w:hAnsi="Times New Roman" w:cs="Times New Roman"/>
          <w:sz w:val="22"/>
          <w:szCs w:val="22"/>
        </w:rPr>
        <w:t> </w:t>
      </w:r>
    </w:p>
    <w:p w:rsidR="00017DB9" w:rsidRDefault="008629F6" w:rsidP="007A2FE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52D88">
        <w:rPr>
          <w:rFonts w:ascii="Times New Roman" w:hAnsi="Times New Roman" w:cs="Times New Roman"/>
          <w:sz w:val="22"/>
          <w:szCs w:val="22"/>
        </w:rPr>
        <w:t>2. Возложить на комиссию следующие обязанности:</w:t>
      </w:r>
    </w:p>
    <w:p w:rsidR="00017DB9" w:rsidRPr="00513ED3" w:rsidRDefault="00017DB9" w:rsidP="00017DB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52D88">
        <w:rPr>
          <w:rFonts w:ascii="Times New Roman" w:hAnsi="Times New Roman" w:cs="Times New Roman"/>
          <w:sz w:val="22"/>
          <w:szCs w:val="22"/>
        </w:rPr>
        <w:t xml:space="preserve">– </w:t>
      </w:r>
      <w:r w:rsidRPr="00513ED3">
        <w:rPr>
          <w:rFonts w:ascii="Times New Roman" w:hAnsi="Times New Roman" w:cs="Times New Roman"/>
          <w:sz w:val="22"/>
          <w:szCs w:val="22"/>
        </w:rPr>
        <w:t>принятие к учету, перемещение и выбытие объектов основных средств, нематериальных, непроизведенных активов, материальных запасов, в отношении которых установлен срок эксплуатации (полезного использования);</w:t>
      </w:r>
      <w:r w:rsidRPr="00513ED3">
        <w:rPr>
          <w:rFonts w:ascii="Times New Roman" w:hAnsi="Times New Roman" w:cs="Times New Roman"/>
          <w:sz w:val="22"/>
          <w:szCs w:val="22"/>
        </w:rPr>
        <w:br/>
        <w:t xml:space="preserve">– определение текущей оценочной стоимости безвозмездно полученного имущества; </w:t>
      </w:r>
    </w:p>
    <w:p w:rsidR="0005736C" w:rsidRPr="00513ED3" w:rsidRDefault="00017DB9" w:rsidP="007A2FE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513ED3">
        <w:rPr>
          <w:rFonts w:ascii="Times New Roman" w:hAnsi="Times New Roman" w:cs="Times New Roman"/>
          <w:sz w:val="22"/>
          <w:szCs w:val="22"/>
        </w:rPr>
        <w:t>– определение срока полезного использования имущества в целях начисления амортизации в случаях отсутствия информации в законодательстве Российской Федерации и в документах производителя;</w:t>
      </w:r>
    </w:p>
    <w:p w:rsidR="00017DB9" w:rsidRPr="00513ED3" w:rsidRDefault="0005736C" w:rsidP="007A2FE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513ED3">
        <w:rPr>
          <w:rFonts w:ascii="Times New Roman" w:hAnsi="Times New Roman" w:cs="Times New Roman"/>
          <w:sz w:val="22"/>
          <w:szCs w:val="22"/>
        </w:rPr>
        <w:t>– изменения первоначально принятых нормативных показателей функционирования объ</w:t>
      </w:r>
      <w:r w:rsidR="00277A1B" w:rsidRPr="00513ED3">
        <w:rPr>
          <w:rFonts w:ascii="Times New Roman" w:hAnsi="Times New Roman" w:cs="Times New Roman"/>
          <w:sz w:val="22"/>
          <w:szCs w:val="22"/>
        </w:rPr>
        <w:t>е</w:t>
      </w:r>
      <w:r w:rsidRPr="00513ED3">
        <w:rPr>
          <w:rFonts w:ascii="Times New Roman" w:hAnsi="Times New Roman" w:cs="Times New Roman"/>
          <w:sz w:val="22"/>
          <w:szCs w:val="22"/>
        </w:rPr>
        <w:t>кта основных средств, в том числе в результате проведенной достройки, дооборудования, реконструкции или моде</w:t>
      </w:r>
      <w:r w:rsidR="00277A1B" w:rsidRPr="00513ED3">
        <w:rPr>
          <w:rFonts w:ascii="Times New Roman" w:hAnsi="Times New Roman" w:cs="Times New Roman"/>
          <w:sz w:val="22"/>
          <w:szCs w:val="22"/>
        </w:rPr>
        <w:t>р</w:t>
      </w:r>
      <w:r w:rsidRPr="00513ED3">
        <w:rPr>
          <w:rFonts w:ascii="Times New Roman" w:hAnsi="Times New Roman" w:cs="Times New Roman"/>
          <w:sz w:val="22"/>
          <w:szCs w:val="22"/>
        </w:rPr>
        <w:t>низации;</w:t>
      </w:r>
      <w:r w:rsidR="008629F6" w:rsidRPr="00513ED3">
        <w:rPr>
          <w:rFonts w:ascii="Times New Roman" w:hAnsi="Times New Roman" w:cs="Times New Roman"/>
          <w:sz w:val="22"/>
          <w:szCs w:val="22"/>
        </w:rPr>
        <w:br/>
      </w:r>
      <w:r w:rsidR="00CB5DD6" w:rsidRPr="00513ED3">
        <w:rPr>
          <w:rFonts w:ascii="Times New Roman" w:hAnsi="Times New Roman" w:cs="Times New Roman"/>
          <w:sz w:val="22"/>
          <w:szCs w:val="22"/>
        </w:rPr>
        <w:t>– принятие решения в случае наличия противоречий в применении прямого (обратного) переходного ключей, утвержденных Приказом № 458, и ОКОФ ОК 013-2014 (СНС), отсутствия позиций в новых кодах ОКОФ ОК 013-2014 (СНС) для объекта учета, ранее включаемых в группы материальных ценностей, по своим критериям являющихся основными средствами, по отнесению указанных объектов к соответствующей группе кодов ОКОФ ОК 013-2014 (СНС) и определению их сроков полезного использования;</w:t>
      </w:r>
    </w:p>
    <w:p w:rsidR="00277A1B" w:rsidRDefault="008629F6" w:rsidP="007A2FE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52D88">
        <w:rPr>
          <w:rFonts w:ascii="Times New Roman" w:hAnsi="Times New Roman" w:cs="Times New Roman"/>
          <w:sz w:val="22"/>
          <w:szCs w:val="22"/>
        </w:rPr>
        <w:t>– принятие решения о целесообразности (пригодности) дальнейшего использования объектов нефинансовых активов, о возможности и эффективности их восстановления;</w:t>
      </w:r>
      <w:r w:rsidRPr="00152D88">
        <w:rPr>
          <w:rFonts w:ascii="Times New Roman" w:hAnsi="Times New Roman" w:cs="Times New Roman"/>
          <w:sz w:val="22"/>
          <w:szCs w:val="22"/>
        </w:rPr>
        <w:br/>
        <w:t>– определение возможности использования отдельных узлов, деталей, материальных запасов ликвидируемых объектов;</w:t>
      </w:r>
      <w:r w:rsidRPr="00152D88">
        <w:rPr>
          <w:rFonts w:ascii="Times New Roman" w:hAnsi="Times New Roman" w:cs="Times New Roman"/>
          <w:sz w:val="22"/>
          <w:szCs w:val="22"/>
        </w:rPr>
        <w:br/>
        <w:t>– определение причин списания (физический и моральный износ, авария, стихийные бедствия и т. п.);</w:t>
      </w:r>
      <w:r w:rsidRPr="00152D88">
        <w:rPr>
          <w:rFonts w:ascii="Times New Roman" w:hAnsi="Times New Roman" w:cs="Times New Roman"/>
          <w:sz w:val="22"/>
          <w:szCs w:val="22"/>
        </w:rPr>
        <w:br/>
        <w:t>– выявление виновных лиц (если объект ликвидируется до истечения нормативного срока службы в связи с обстоятельствами, возникшими по чьей-либо вине);</w:t>
      </w:r>
      <w:r w:rsidRPr="00152D88">
        <w:rPr>
          <w:rFonts w:ascii="Times New Roman" w:hAnsi="Times New Roman" w:cs="Times New Roman"/>
          <w:sz w:val="22"/>
          <w:szCs w:val="22"/>
        </w:rPr>
        <w:br/>
        <w:t>– подготовка акта о списании объекта нефинансового актива и документов для согласования с вышестоящей организацией;</w:t>
      </w:r>
      <w:r w:rsidRPr="00152D88">
        <w:rPr>
          <w:rFonts w:ascii="Times New Roman" w:hAnsi="Times New Roman" w:cs="Times New Roman"/>
          <w:sz w:val="22"/>
          <w:szCs w:val="22"/>
        </w:rPr>
        <w:br/>
        <w:t>– принятие решения о сдаче вторичного сырья в организ</w:t>
      </w:r>
      <w:r w:rsidR="00C830CA">
        <w:rPr>
          <w:rFonts w:ascii="Times New Roman" w:hAnsi="Times New Roman" w:cs="Times New Roman"/>
          <w:sz w:val="22"/>
          <w:szCs w:val="22"/>
        </w:rPr>
        <w:t xml:space="preserve">ации приема вторичного сырья; </w:t>
      </w:r>
    </w:p>
    <w:p w:rsidR="00277A1B" w:rsidRPr="00513ED3" w:rsidRDefault="00277A1B" w:rsidP="00277A1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52D88">
        <w:rPr>
          <w:rFonts w:ascii="Times New Roman" w:hAnsi="Times New Roman" w:cs="Times New Roman"/>
          <w:sz w:val="22"/>
          <w:szCs w:val="22"/>
        </w:rPr>
        <w:t xml:space="preserve">– </w:t>
      </w:r>
      <w:r w:rsidRPr="00513ED3">
        <w:rPr>
          <w:rFonts w:ascii="Times New Roman" w:hAnsi="Times New Roman" w:cs="Times New Roman"/>
          <w:sz w:val="22"/>
          <w:szCs w:val="22"/>
        </w:rPr>
        <w:t>принятие решения о списание с балансового учета задолженности неплатежеспособных дебиторов, а также списание с забалансового учета задолженности, признанной безнадежной к взысканию ( в случае наличия документов, подтверждающих прекращение обязательства смертью (ликвидацией) дебитора, а также в иных случаях, предусмотренных Российской Федерацией).</w:t>
      </w:r>
    </w:p>
    <w:p w:rsidR="00C830CA" w:rsidRPr="00513ED3" w:rsidRDefault="00C830CA" w:rsidP="007A2FE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:rsidR="00B259EF" w:rsidRPr="00152D88" w:rsidRDefault="008629F6" w:rsidP="007A2FE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152D88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894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95"/>
        <w:gridCol w:w="176"/>
        <w:gridCol w:w="818"/>
        <w:gridCol w:w="1678"/>
        <w:gridCol w:w="1678"/>
      </w:tblGrid>
      <w:tr w:rsidR="00B259EF" w:rsidRPr="00152D88" w:rsidTr="00EF0E1B">
        <w:tc>
          <w:tcPr>
            <w:tcW w:w="4595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B259EF" w:rsidRPr="00152D88" w:rsidRDefault="00B259EF" w:rsidP="007A2FE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59EF" w:rsidRPr="00152D88" w:rsidRDefault="00B259EF" w:rsidP="007A2FE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59EF" w:rsidRPr="00152D88" w:rsidRDefault="00B259EF" w:rsidP="007A2FE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59EF" w:rsidRPr="00152D88" w:rsidRDefault="00B259EF" w:rsidP="007A2FE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B259EF" w:rsidRPr="00152D88" w:rsidRDefault="00B259EF" w:rsidP="007A2F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9EF" w:rsidRPr="00152D88" w:rsidTr="00EF0E1B">
        <w:tc>
          <w:tcPr>
            <w:tcW w:w="4595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B259EF" w:rsidRPr="00152D88" w:rsidRDefault="00B259EF" w:rsidP="007A2FE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59EF" w:rsidRPr="00152D88" w:rsidRDefault="00B259EF" w:rsidP="007A2FE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59EF" w:rsidRPr="00152D88" w:rsidRDefault="00B259EF" w:rsidP="007A2FE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59EF" w:rsidRPr="00152D88" w:rsidRDefault="00B259EF" w:rsidP="007A2FE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B259EF" w:rsidRPr="00152D88" w:rsidRDefault="00B259EF" w:rsidP="007A2F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629F6" w:rsidRPr="00152D88" w:rsidRDefault="008629F6" w:rsidP="00152D88">
      <w:pPr>
        <w:pStyle w:val="a5"/>
        <w:spacing w:beforeAutospacing="0" w:afterAutospacing="0"/>
        <w:rPr>
          <w:rFonts w:ascii="Times New Roman" w:hAnsi="Times New Roman" w:cs="Times New Roman"/>
          <w:sz w:val="22"/>
          <w:szCs w:val="22"/>
        </w:rPr>
      </w:pPr>
    </w:p>
    <w:sectPr w:rsidR="008629F6" w:rsidRPr="00152D88" w:rsidSect="009D19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EA4" w:rsidRDefault="00A53EA4" w:rsidP="00FC49A2">
      <w:r>
        <w:separator/>
      </w:r>
    </w:p>
  </w:endnote>
  <w:endnote w:type="continuationSeparator" w:id="1">
    <w:p w:rsidR="00A53EA4" w:rsidRDefault="00A53EA4" w:rsidP="00FC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9A2" w:rsidRDefault="00FC49A2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9A2" w:rsidRDefault="00FC49A2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9A2" w:rsidRDefault="00FC49A2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EA4" w:rsidRDefault="00A53EA4" w:rsidP="00FC49A2">
      <w:r>
        <w:separator/>
      </w:r>
    </w:p>
  </w:footnote>
  <w:footnote w:type="continuationSeparator" w:id="1">
    <w:p w:rsidR="00A53EA4" w:rsidRDefault="00A53EA4" w:rsidP="00FC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9A2" w:rsidRDefault="00FC49A2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9A2" w:rsidRDefault="00FC49A2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9A2" w:rsidRDefault="00FC49A2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9D192C"/>
    <w:rsid w:val="00017DB9"/>
    <w:rsid w:val="0005736C"/>
    <w:rsid w:val="00084D1C"/>
    <w:rsid w:val="000C3FE4"/>
    <w:rsid w:val="00120916"/>
    <w:rsid w:val="00152D88"/>
    <w:rsid w:val="00186EB5"/>
    <w:rsid w:val="001D2D3A"/>
    <w:rsid w:val="001D4B8E"/>
    <w:rsid w:val="00227382"/>
    <w:rsid w:val="00233C89"/>
    <w:rsid w:val="00277A1B"/>
    <w:rsid w:val="00292E0B"/>
    <w:rsid w:val="00440A3A"/>
    <w:rsid w:val="004F594F"/>
    <w:rsid w:val="00501456"/>
    <w:rsid w:val="00513ED3"/>
    <w:rsid w:val="0056000F"/>
    <w:rsid w:val="00572A90"/>
    <w:rsid w:val="005D0DB4"/>
    <w:rsid w:val="005F0AFC"/>
    <w:rsid w:val="006C1F60"/>
    <w:rsid w:val="006C401E"/>
    <w:rsid w:val="007A1C27"/>
    <w:rsid w:val="007A2FE0"/>
    <w:rsid w:val="00804316"/>
    <w:rsid w:val="008629F6"/>
    <w:rsid w:val="00902F00"/>
    <w:rsid w:val="009C5F57"/>
    <w:rsid w:val="009D192C"/>
    <w:rsid w:val="00A53EA4"/>
    <w:rsid w:val="00AB281A"/>
    <w:rsid w:val="00AB6C3C"/>
    <w:rsid w:val="00AC6CDC"/>
    <w:rsid w:val="00B259EF"/>
    <w:rsid w:val="00C830CA"/>
    <w:rsid w:val="00CB5DD6"/>
    <w:rsid w:val="00EF0E1B"/>
    <w:rsid w:val="00FA2F55"/>
    <w:rsid w:val="00FC01B5"/>
    <w:rsid w:val="00FC49A2"/>
    <w:rsid w:val="00FC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9EF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B259EF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B259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259EF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59E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59EF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B259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59E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259EF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B259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259EF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B259EF"/>
    <w:pPr>
      <w:spacing w:before="100" w:beforeAutospacing="1" w:after="100" w:afterAutospacing="1"/>
    </w:pPr>
    <w:rPr>
      <w:sz w:val="20"/>
      <w:szCs w:val="20"/>
    </w:rPr>
  </w:style>
  <w:style w:type="paragraph" w:customStyle="1" w:styleId="yrsh">
    <w:name w:val="yrsh"/>
    <w:basedOn w:val="a"/>
    <w:rsid w:val="00B259EF"/>
    <w:pPr>
      <w:shd w:val="clear" w:color="auto" w:fill="92D050"/>
      <w:spacing w:before="100" w:beforeAutospacing="1" w:after="100" w:afterAutospacing="1"/>
    </w:pPr>
    <w:rPr>
      <w:sz w:val="20"/>
      <w:szCs w:val="20"/>
    </w:rPr>
  </w:style>
  <w:style w:type="paragraph" w:customStyle="1" w:styleId="tabtitle">
    <w:name w:val="tabtitle"/>
    <w:basedOn w:val="a"/>
    <w:rsid w:val="00B259EF"/>
    <w:pPr>
      <w:shd w:val="clear" w:color="auto" w:fill="28A0C8"/>
      <w:spacing w:before="100" w:beforeAutospacing="1" w:after="100" w:afterAutospacing="1"/>
    </w:pPr>
    <w:rPr>
      <w:sz w:val="20"/>
      <w:szCs w:val="20"/>
    </w:rPr>
  </w:style>
  <w:style w:type="paragraph" w:customStyle="1" w:styleId="header-listtarget">
    <w:name w:val="header-listtarget"/>
    <w:basedOn w:val="a"/>
    <w:rsid w:val="00B259EF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paragraph" w:customStyle="1" w:styleId="bdall">
    <w:name w:val="bdall"/>
    <w:basedOn w:val="a"/>
    <w:rsid w:val="00B259E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top">
    <w:name w:val="bdtop"/>
    <w:basedOn w:val="a"/>
    <w:rsid w:val="00B259EF"/>
    <w:pPr>
      <w:pBdr>
        <w:top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left">
    <w:name w:val="bdleft"/>
    <w:basedOn w:val="a"/>
    <w:rsid w:val="00B259EF"/>
    <w:pPr>
      <w:pBdr>
        <w:lef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right">
    <w:name w:val="bdright"/>
    <w:basedOn w:val="a"/>
    <w:rsid w:val="00B259EF"/>
    <w:pPr>
      <w:pBdr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bottom">
    <w:name w:val="bdbottom"/>
    <w:basedOn w:val="a"/>
    <w:rsid w:val="00B259EF"/>
    <w:pPr>
      <w:pBdr>
        <w:bottom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headercell">
    <w:name w:val="headercell"/>
    <w:basedOn w:val="a"/>
    <w:rsid w:val="00B259EF"/>
    <w:pPr>
      <w:pBdr>
        <w:bottom w:val="double" w:sz="6" w:space="0" w:color="000000"/>
      </w:pBdr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B259EF"/>
    <w:rPr>
      <w:color w:val="FF9900"/>
    </w:rPr>
  </w:style>
  <w:style w:type="character" w:customStyle="1" w:styleId="small">
    <w:name w:val="small"/>
    <w:basedOn w:val="a0"/>
    <w:rsid w:val="00B259EF"/>
    <w:rPr>
      <w:sz w:val="15"/>
      <w:szCs w:val="15"/>
    </w:rPr>
  </w:style>
  <w:style w:type="character" w:customStyle="1" w:styleId="fill">
    <w:name w:val="fill"/>
    <w:basedOn w:val="a0"/>
    <w:rsid w:val="00B259EF"/>
    <w:rPr>
      <w:b/>
      <w:bCs/>
      <w:i/>
      <w:iCs/>
      <w:color w:val="FF0000"/>
    </w:rPr>
  </w:style>
  <w:style w:type="character" w:customStyle="1" w:styleId="maggd">
    <w:name w:val="maggd"/>
    <w:basedOn w:val="a0"/>
    <w:rsid w:val="00B259EF"/>
    <w:rPr>
      <w:color w:val="006400"/>
    </w:rPr>
  </w:style>
  <w:style w:type="character" w:customStyle="1" w:styleId="magusn">
    <w:name w:val="magusn"/>
    <w:basedOn w:val="a0"/>
    <w:rsid w:val="00B259EF"/>
    <w:rPr>
      <w:color w:val="006666"/>
    </w:rPr>
  </w:style>
  <w:style w:type="character" w:customStyle="1" w:styleId="enp">
    <w:name w:val="enp"/>
    <w:basedOn w:val="a0"/>
    <w:rsid w:val="00B259EF"/>
    <w:rPr>
      <w:color w:val="3C7828"/>
    </w:rPr>
  </w:style>
  <w:style w:type="character" w:customStyle="1" w:styleId="kdkss">
    <w:name w:val="kdkss"/>
    <w:basedOn w:val="a0"/>
    <w:rsid w:val="00B259EF"/>
    <w:rPr>
      <w:color w:val="BE780A"/>
    </w:rPr>
  </w:style>
  <w:style w:type="character" w:customStyle="1" w:styleId="actel">
    <w:name w:val="actel"/>
    <w:basedOn w:val="a0"/>
    <w:rsid w:val="00B259EF"/>
    <w:rPr>
      <w:color w:val="E36C0A"/>
    </w:rPr>
  </w:style>
  <w:style w:type="character" w:styleId="a6">
    <w:name w:val="annotation reference"/>
    <w:basedOn w:val="a0"/>
    <w:uiPriority w:val="99"/>
    <w:semiHidden/>
    <w:unhideWhenUsed/>
    <w:rsid w:val="009D192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D192C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D192C"/>
    <w:rPr>
      <w:rFonts w:eastAsia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D192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D192C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9D19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192C"/>
    <w:rPr>
      <w:rFonts w:ascii="Tahoma" w:eastAsia="Times New Roman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FC49A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C49A2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C49A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C49A2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422</Words>
  <Characters>2411</Characters>
  <Application>Microsoft Office Word</Application>
  <DocSecurity>0</DocSecurity>
  <PresentationFormat>cjfn1g</PresentationFormat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Состав комиссии по поступлению и выбытию активов</vt:lpstr>
    </vt:vector>
  </TitlesOfParts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Состав комиссии по поступлению и выбытию активов</dc:title>
  <dc:creator>oper</dc:creator>
  <dc:description>Подготовлено на базе материалов БСС «Система Главбух»</dc:description>
  <cp:lastModifiedBy>oper</cp:lastModifiedBy>
  <cp:revision>15</cp:revision>
  <dcterms:created xsi:type="dcterms:W3CDTF">2017-05-22T04:24:00Z</dcterms:created>
  <dcterms:modified xsi:type="dcterms:W3CDTF">2018-12-20T09:57:00Z</dcterms:modified>
</cp:coreProperties>
</file>